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C3DE" w14:textId="77777777" w:rsidR="007A20DD" w:rsidRPr="00E20273" w:rsidRDefault="007A20DD" w:rsidP="00915991">
      <w:pPr>
        <w:spacing w:after="0" w:line="240" w:lineRule="auto"/>
        <w:rPr>
          <w:rFonts w:ascii="Arial" w:hAnsi="Arial" w:cs="Arial"/>
          <w:noProof w:val="0"/>
        </w:rPr>
      </w:pPr>
    </w:p>
    <w:p w14:paraId="4EB719DF" w14:textId="6F58B682" w:rsidR="00915991" w:rsidRPr="00E20273" w:rsidRDefault="00915991" w:rsidP="00915991">
      <w:pPr>
        <w:spacing w:after="0" w:line="240" w:lineRule="auto"/>
        <w:rPr>
          <w:rFonts w:ascii="Arial" w:hAnsi="Arial" w:cs="Arial"/>
          <w:b/>
          <w:noProof w:val="0"/>
          <w:sz w:val="28"/>
          <w:szCs w:val="28"/>
        </w:rPr>
      </w:pPr>
      <w:r w:rsidRPr="00E20273">
        <w:rPr>
          <w:rFonts w:ascii="Arial" w:hAnsi="Arial" w:cs="Arial"/>
          <w:b/>
          <w:noProof w:val="0"/>
          <w:sz w:val="28"/>
          <w:szCs w:val="28"/>
        </w:rPr>
        <w:t>Council of Europe Peer Review of Local Democracy in the UK</w:t>
      </w:r>
    </w:p>
    <w:p w14:paraId="7C42B6A9" w14:textId="77777777" w:rsidR="00915991" w:rsidRPr="00E20273" w:rsidRDefault="00915991" w:rsidP="00915991">
      <w:pPr>
        <w:spacing w:after="0" w:line="240" w:lineRule="auto"/>
        <w:rPr>
          <w:rFonts w:ascii="Arial" w:hAnsi="Arial" w:cs="Arial"/>
          <w:b/>
          <w:noProof w:val="0"/>
        </w:rPr>
      </w:pPr>
    </w:p>
    <w:p w14:paraId="266677E5" w14:textId="77777777" w:rsidR="00915991" w:rsidRPr="00E20273" w:rsidRDefault="00915991" w:rsidP="00915991">
      <w:pPr>
        <w:spacing w:after="0" w:line="240" w:lineRule="auto"/>
        <w:rPr>
          <w:rFonts w:ascii="Arial" w:hAnsi="Arial" w:cs="Arial"/>
          <w:b/>
          <w:noProof w:val="0"/>
        </w:rPr>
      </w:pPr>
    </w:p>
    <w:p w14:paraId="7535DE6F" w14:textId="61B6141B" w:rsidR="00915991" w:rsidRPr="00E20273" w:rsidRDefault="00915991" w:rsidP="00915991">
      <w:pPr>
        <w:spacing w:after="0" w:line="240" w:lineRule="auto"/>
        <w:rPr>
          <w:rFonts w:ascii="Arial" w:hAnsi="Arial" w:cs="Arial"/>
          <w:b/>
          <w:noProof w:val="0"/>
        </w:rPr>
      </w:pPr>
      <w:r w:rsidRPr="00E20273">
        <w:rPr>
          <w:rFonts w:ascii="Arial" w:hAnsi="Arial" w:cs="Arial"/>
          <w:b/>
          <w:noProof w:val="0"/>
        </w:rPr>
        <w:t xml:space="preserve">Purpose </w:t>
      </w:r>
    </w:p>
    <w:p w14:paraId="5D79B8C8" w14:textId="77777777" w:rsidR="00915991" w:rsidRPr="00E20273" w:rsidRDefault="00915991" w:rsidP="00915991">
      <w:pPr>
        <w:spacing w:after="0" w:line="240" w:lineRule="auto"/>
        <w:rPr>
          <w:rFonts w:ascii="Arial" w:hAnsi="Arial" w:cs="Arial"/>
          <w:noProof w:val="0"/>
        </w:rPr>
      </w:pPr>
    </w:p>
    <w:p w14:paraId="212E2A06" w14:textId="02AA6513" w:rsidR="00915991" w:rsidRPr="00E20273" w:rsidRDefault="00915991" w:rsidP="00915991">
      <w:pPr>
        <w:spacing w:after="0" w:line="240" w:lineRule="auto"/>
        <w:rPr>
          <w:rFonts w:ascii="Arial" w:hAnsi="Arial" w:cs="Arial"/>
          <w:noProof w:val="0"/>
        </w:rPr>
      </w:pPr>
      <w:proofErr w:type="gramStart"/>
      <w:r w:rsidRPr="00E20273">
        <w:rPr>
          <w:rFonts w:ascii="Arial" w:hAnsi="Arial" w:cs="Arial"/>
          <w:noProof w:val="0"/>
        </w:rPr>
        <w:t>For information and discussion.</w:t>
      </w:r>
      <w:proofErr w:type="gramEnd"/>
      <w:r w:rsidRPr="00E20273">
        <w:rPr>
          <w:rFonts w:ascii="Arial" w:hAnsi="Arial" w:cs="Arial"/>
          <w:noProof w:val="0"/>
        </w:rPr>
        <w:t xml:space="preserve"> </w:t>
      </w:r>
    </w:p>
    <w:p w14:paraId="5DF43283" w14:textId="77777777" w:rsidR="00915991" w:rsidRPr="00E20273" w:rsidRDefault="00915991" w:rsidP="00915991">
      <w:pPr>
        <w:spacing w:after="0" w:line="240" w:lineRule="auto"/>
        <w:rPr>
          <w:rFonts w:ascii="Arial" w:hAnsi="Arial" w:cs="Arial"/>
          <w:noProof w:val="0"/>
        </w:rPr>
      </w:pPr>
    </w:p>
    <w:p w14:paraId="44124177" w14:textId="77777777" w:rsidR="00915991" w:rsidRPr="00E20273" w:rsidRDefault="00915991" w:rsidP="00915991">
      <w:pPr>
        <w:spacing w:after="0" w:line="240" w:lineRule="auto"/>
        <w:rPr>
          <w:rFonts w:ascii="Arial" w:hAnsi="Arial" w:cs="Arial"/>
          <w:noProof w:val="0"/>
        </w:rPr>
      </w:pPr>
    </w:p>
    <w:p w14:paraId="21A7C3E1" w14:textId="77777777" w:rsidR="005C3C37" w:rsidRPr="00E20273" w:rsidRDefault="005C3C37" w:rsidP="00915991">
      <w:pPr>
        <w:spacing w:after="0" w:line="240" w:lineRule="auto"/>
        <w:rPr>
          <w:rFonts w:ascii="Arial" w:hAnsi="Arial" w:cs="Arial"/>
          <w:b/>
          <w:noProof w:val="0"/>
        </w:rPr>
      </w:pPr>
      <w:r w:rsidRPr="00E20273">
        <w:rPr>
          <w:rFonts w:ascii="Arial" w:hAnsi="Arial" w:cs="Arial"/>
          <w:b/>
          <w:noProof w:val="0"/>
        </w:rPr>
        <w:t>Summary</w:t>
      </w:r>
    </w:p>
    <w:p w14:paraId="42A6F2AE" w14:textId="77777777" w:rsidR="00915991" w:rsidRPr="00E20273" w:rsidRDefault="00915991" w:rsidP="00915991">
      <w:pPr>
        <w:spacing w:after="0" w:line="240" w:lineRule="auto"/>
        <w:rPr>
          <w:rFonts w:ascii="Arial" w:hAnsi="Arial" w:cs="Arial"/>
          <w:b/>
          <w:noProof w:val="0"/>
        </w:rPr>
      </w:pPr>
    </w:p>
    <w:p w14:paraId="21A7C3E2" w14:textId="77777777" w:rsidR="005C3C37" w:rsidRPr="00E20273" w:rsidRDefault="005C3C37" w:rsidP="00915991">
      <w:pPr>
        <w:spacing w:after="0" w:line="240" w:lineRule="auto"/>
        <w:rPr>
          <w:rFonts w:ascii="Arial" w:hAnsi="Arial" w:cs="Arial"/>
          <w:noProof w:val="0"/>
        </w:rPr>
      </w:pPr>
      <w:r w:rsidRPr="00E20273">
        <w:rPr>
          <w:rFonts w:ascii="Arial" w:hAnsi="Arial" w:cs="Arial"/>
          <w:noProof w:val="0"/>
        </w:rPr>
        <w:t>This report summarises the recommendations of the Council of Europe regarding local democracy in the UK.</w:t>
      </w:r>
    </w:p>
    <w:p w14:paraId="4B3B992E" w14:textId="77777777" w:rsidR="00915991" w:rsidRPr="00E20273" w:rsidRDefault="00915991" w:rsidP="00915991">
      <w:pPr>
        <w:rPr>
          <w:rFonts w:ascii="Arial" w:hAnsi="Arial" w:cs="Arial"/>
          <w:noProof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15991" w:rsidRPr="00E20273" w14:paraId="0DD4237F" w14:textId="77777777" w:rsidTr="00EA3DEF">
        <w:tc>
          <w:tcPr>
            <w:tcW w:w="9157" w:type="dxa"/>
          </w:tcPr>
          <w:p w14:paraId="6A18F094" w14:textId="77777777" w:rsidR="00915991" w:rsidRPr="00E20273" w:rsidRDefault="00915991" w:rsidP="00EA3DEF">
            <w:pPr>
              <w:pStyle w:val="Default"/>
              <w:rPr>
                <w:b/>
                <w:sz w:val="22"/>
                <w:szCs w:val="22"/>
              </w:rPr>
            </w:pPr>
          </w:p>
          <w:p w14:paraId="1BA352F8" w14:textId="77777777" w:rsidR="00915991" w:rsidRPr="00E20273" w:rsidRDefault="00915991" w:rsidP="00EA3DEF">
            <w:pPr>
              <w:pStyle w:val="Default"/>
              <w:rPr>
                <w:b/>
                <w:sz w:val="22"/>
                <w:szCs w:val="22"/>
              </w:rPr>
            </w:pPr>
            <w:r w:rsidRPr="00E20273">
              <w:rPr>
                <w:b/>
                <w:sz w:val="22"/>
                <w:szCs w:val="22"/>
              </w:rPr>
              <w:t xml:space="preserve">Recommendation </w:t>
            </w:r>
          </w:p>
          <w:p w14:paraId="63B2C0AB" w14:textId="77777777" w:rsidR="00915991" w:rsidRPr="00E20273" w:rsidRDefault="00915991" w:rsidP="00EA3DEF">
            <w:pPr>
              <w:pStyle w:val="Default"/>
              <w:rPr>
                <w:b/>
                <w:sz w:val="22"/>
                <w:szCs w:val="22"/>
              </w:rPr>
            </w:pPr>
          </w:p>
          <w:p w14:paraId="5B965263" w14:textId="479FEDFC" w:rsidR="00915991" w:rsidRPr="00E20273" w:rsidRDefault="00915991" w:rsidP="00EA3DEF">
            <w:pPr>
              <w:pStyle w:val="Default"/>
              <w:rPr>
                <w:sz w:val="22"/>
                <w:szCs w:val="22"/>
              </w:rPr>
            </w:pPr>
            <w:r w:rsidRPr="00E20273">
              <w:rPr>
                <w:sz w:val="22"/>
                <w:szCs w:val="22"/>
              </w:rPr>
              <w:t xml:space="preserve">Members are asked to note the report. </w:t>
            </w:r>
          </w:p>
          <w:p w14:paraId="30E379E1" w14:textId="77777777" w:rsidR="00915991" w:rsidRPr="00E20273" w:rsidRDefault="00915991" w:rsidP="00EA3DEF">
            <w:pPr>
              <w:pStyle w:val="Default"/>
              <w:rPr>
                <w:sz w:val="22"/>
                <w:szCs w:val="22"/>
              </w:rPr>
            </w:pPr>
          </w:p>
          <w:p w14:paraId="21C78561" w14:textId="77777777" w:rsidR="00915991" w:rsidRPr="00E20273" w:rsidRDefault="00915991" w:rsidP="00EA3DEF">
            <w:pPr>
              <w:pStyle w:val="Default"/>
              <w:rPr>
                <w:b/>
                <w:sz w:val="22"/>
                <w:szCs w:val="22"/>
              </w:rPr>
            </w:pPr>
            <w:r w:rsidRPr="00E20273">
              <w:rPr>
                <w:b/>
                <w:sz w:val="22"/>
                <w:szCs w:val="22"/>
              </w:rPr>
              <w:t xml:space="preserve">Action </w:t>
            </w:r>
          </w:p>
          <w:p w14:paraId="7E54AF81" w14:textId="77777777" w:rsidR="00915991" w:rsidRPr="00E20273" w:rsidRDefault="00915991" w:rsidP="00EA3DEF">
            <w:pPr>
              <w:pStyle w:val="Default"/>
              <w:rPr>
                <w:b/>
                <w:sz w:val="22"/>
                <w:szCs w:val="22"/>
              </w:rPr>
            </w:pPr>
          </w:p>
          <w:p w14:paraId="5C8E167F" w14:textId="77777777" w:rsidR="00915991" w:rsidRPr="00E20273" w:rsidRDefault="00915991" w:rsidP="00915991">
            <w:pPr>
              <w:pStyle w:val="Default"/>
              <w:rPr>
                <w:sz w:val="22"/>
                <w:szCs w:val="22"/>
              </w:rPr>
            </w:pPr>
            <w:r w:rsidRPr="00E20273">
              <w:rPr>
                <w:sz w:val="22"/>
                <w:szCs w:val="22"/>
              </w:rPr>
              <w:t>Officers to take action as directed by Members.</w:t>
            </w:r>
          </w:p>
          <w:p w14:paraId="076D7953" w14:textId="75D08BBF" w:rsidR="00915991" w:rsidRPr="00E20273" w:rsidRDefault="00915991" w:rsidP="00915991">
            <w:pPr>
              <w:pStyle w:val="Default"/>
              <w:rPr>
                <w:sz w:val="22"/>
                <w:szCs w:val="22"/>
              </w:rPr>
            </w:pPr>
          </w:p>
        </w:tc>
      </w:tr>
    </w:tbl>
    <w:p w14:paraId="1E627769" w14:textId="77777777" w:rsidR="00915991" w:rsidRPr="00E20273" w:rsidRDefault="00915991" w:rsidP="00915991">
      <w:pPr>
        <w:rPr>
          <w:rFonts w:ascii="Arial" w:hAnsi="Arial" w:cs="Arial"/>
          <w:b/>
          <w:noProof w:val="0"/>
        </w:rPr>
      </w:pPr>
    </w:p>
    <w:p w14:paraId="428BBA6E" w14:textId="77777777" w:rsidR="00915991" w:rsidRPr="00E20273" w:rsidRDefault="00915991" w:rsidP="00915991">
      <w:pPr>
        <w:rPr>
          <w:rFonts w:ascii="Arial" w:hAnsi="Arial" w:cs="Arial"/>
          <w:b/>
          <w:noProof w:val="0"/>
        </w:rPr>
      </w:pPr>
    </w:p>
    <w:tbl>
      <w:tblPr>
        <w:tblpPr w:leftFromText="180" w:rightFromText="180" w:vertAnchor="text" w:horzAnchor="margin" w:tblpY="6"/>
        <w:tblW w:w="0" w:type="auto"/>
        <w:tblLook w:val="01E0" w:firstRow="1" w:lastRow="1" w:firstColumn="1" w:lastColumn="1" w:noHBand="0" w:noVBand="0"/>
      </w:tblPr>
      <w:tblGrid>
        <w:gridCol w:w="2802"/>
        <w:gridCol w:w="6378"/>
      </w:tblGrid>
      <w:tr w:rsidR="00915991" w:rsidRPr="00E20273" w14:paraId="0D26E37E" w14:textId="77777777" w:rsidTr="00EA3DEF">
        <w:tc>
          <w:tcPr>
            <w:tcW w:w="2802" w:type="dxa"/>
            <w:shd w:val="clear" w:color="auto" w:fill="auto"/>
          </w:tcPr>
          <w:p w14:paraId="057BEC26" w14:textId="77777777" w:rsidR="00915991" w:rsidRPr="00E20273" w:rsidRDefault="00915991" w:rsidP="00EA3DEF">
            <w:pPr>
              <w:spacing w:after="120"/>
              <w:rPr>
                <w:rFonts w:ascii="Arial" w:hAnsi="Arial" w:cs="Arial"/>
                <w:noProof w:val="0"/>
              </w:rPr>
            </w:pPr>
            <w:r w:rsidRPr="00E20273">
              <w:rPr>
                <w:rFonts w:ascii="Arial" w:hAnsi="Arial" w:cs="Arial"/>
                <w:b/>
                <w:noProof w:val="0"/>
              </w:rPr>
              <w:t>Contact officers:</w:t>
            </w:r>
            <w:r w:rsidRPr="00E20273">
              <w:rPr>
                <w:rFonts w:ascii="Arial" w:hAnsi="Arial" w:cs="Arial"/>
                <w:noProof w:val="0"/>
              </w:rPr>
              <w:t xml:space="preserve">  </w:t>
            </w:r>
          </w:p>
        </w:tc>
        <w:tc>
          <w:tcPr>
            <w:tcW w:w="6378" w:type="dxa"/>
            <w:shd w:val="clear" w:color="auto" w:fill="auto"/>
          </w:tcPr>
          <w:p w14:paraId="7E1F2DA4" w14:textId="77777777" w:rsidR="00915991" w:rsidRPr="00E20273" w:rsidRDefault="00915991" w:rsidP="00EA3DEF">
            <w:pPr>
              <w:spacing w:after="120"/>
              <w:rPr>
                <w:rFonts w:ascii="Arial" w:hAnsi="Arial" w:cs="Arial"/>
                <w:noProof w:val="0"/>
              </w:rPr>
            </w:pPr>
            <w:r w:rsidRPr="00E20273">
              <w:rPr>
                <w:rFonts w:ascii="Arial" w:hAnsi="Arial" w:cs="Arial"/>
                <w:noProof w:val="0"/>
              </w:rPr>
              <w:t>Ian Hughes</w:t>
            </w:r>
          </w:p>
        </w:tc>
      </w:tr>
      <w:tr w:rsidR="00915991" w:rsidRPr="00E20273" w14:paraId="5F13AC41" w14:textId="77777777" w:rsidTr="00EA3DEF">
        <w:tc>
          <w:tcPr>
            <w:tcW w:w="2802" w:type="dxa"/>
            <w:shd w:val="clear" w:color="auto" w:fill="auto"/>
          </w:tcPr>
          <w:p w14:paraId="27F21671" w14:textId="77777777" w:rsidR="00915991" w:rsidRPr="00E20273" w:rsidRDefault="00915991" w:rsidP="00EA3DEF">
            <w:pPr>
              <w:spacing w:after="120"/>
              <w:rPr>
                <w:rFonts w:ascii="Arial" w:hAnsi="Arial" w:cs="Arial"/>
                <w:b/>
                <w:noProof w:val="0"/>
              </w:rPr>
            </w:pPr>
            <w:r w:rsidRPr="00E20273">
              <w:rPr>
                <w:rFonts w:ascii="Arial" w:hAnsi="Arial" w:cs="Arial"/>
                <w:b/>
                <w:noProof w:val="0"/>
              </w:rPr>
              <w:t>Position:</w:t>
            </w:r>
          </w:p>
        </w:tc>
        <w:tc>
          <w:tcPr>
            <w:tcW w:w="6378" w:type="dxa"/>
            <w:shd w:val="clear" w:color="auto" w:fill="auto"/>
          </w:tcPr>
          <w:p w14:paraId="0D53B356" w14:textId="77777777" w:rsidR="00915991" w:rsidRPr="00E20273" w:rsidRDefault="00915991" w:rsidP="00EA3DEF">
            <w:pPr>
              <w:rPr>
                <w:rFonts w:ascii="Arial" w:hAnsi="Arial" w:cs="Arial"/>
                <w:noProof w:val="0"/>
              </w:rPr>
            </w:pPr>
            <w:r w:rsidRPr="00E20273">
              <w:rPr>
                <w:rFonts w:ascii="Arial" w:hAnsi="Arial" w:cs="Arial"/>
                <w:noProof w:val="0"/>
              </w:rPr>
              <w:t xml:space="preserve">Head of Programme </w:t>
            </w:r>
          </w:p>
        </w:tc>
      </w:tr>
      <w:tr w:rsidR="00915991" w:rsidRPr="00E20273" w14:paraId="2343D788" w14:textId="77777777" w:rsidTr="00EA3DEF">
        <w:tc>
          <w:tcPr>
            <w:tcW w:w="2802" w:type="dxa"/>
            <w:shd w:val="clear" w:color="auto" w:fill="auto"/>
          </w:tcPr>
          <w:p w14:paraId="10C4146E" w14:textId="77777777" w:rsidR="00915991" w:rsidRPr="00E20273" w:rsidRDefault="00915991" w:rsidP="00EA3DEF">
            <w:pPr>
              <w:spacing w:after="120"/>
              <w:rPr>
                <w:rFonts w:ascii="Arial" w:hAnsi="Arial" w:cs="Arial"/>
                <w:b/>
                <w:noProof w:val="0"/>
              </w:rPr>
            </w:pPr>
            <w:r w:rsidRPr="00E20273">
              <w:rPr>
                <w:rFonts w:ascii="Arial" w:hAnsi="Arial" w:cs="Arial"/>
                <w:b/>
                <w:noProof w:val="0"/>
              </w:rPr>
              <w:t>Phone no:</w:t>
            </w:r>
          </w:p>
        </w:tc>
        <w:tc>
          <w:tcPr>
            <w:tcW w:w="6378" w:type="dxa"/>
            <w:shd w:val="clear" w:color="auto" w:fill="auto"/>
          </w:tcPr>
          <w:p w14:paraId="4D507921" w14:textId="77777777" w:rsidR="00915991" w:rsidRPr="00E20273" w:rsidRDefault="00915991" w:rsidP="00EA3DEF">
            <w:pPr>
              <w:spacing w:after="120"/>
              <w:rPr>
                <w:rFonts w:ascii="Arial" w:hAnsi="Arial" w:cs="Arial"/>
                <w:noProof w:val="0"/>
              </w:rPr>
            </w:pPr>
            <w:r w:rsidRPr="00E20273">
              <w:rPr>
                <w:rFonts w:ascii="Arial" w:hAnsi="Arial" w:cs="Arial"/>
                <w:noProof w:val="0"/>
              </w:rPr>
              <w:t>020 7664 3101</w:t>
            </w:r>
          </w:p>
        </w:tc>
      </w:tr>
      <w:tr w:rsidR="00915991" w:rsidRPr="00E20273" w14:paraId="3B348D2E" w14:textId="77777777" w:rsidTr="00EA3DEF">
        <w:tc>
          <w:tcPr>
            <w:tcW w:w="2802" w:type="dxa"/>
            <w:shd w:val="clear" w:color="auto" w:fill="auto"/>
          </w:tcPr>
          <w:p w14:paraId="7CB04F80" w14:textId="77777777" w:rsidR="00915991" w:rsidRPr="00E20273" w:rsidRDefault="00915991" w:rsidP="00EA3DEF">
            <w:pPr>
              <w:spacing w:after="120"/>
              <w:rPr>
                <w:rFonts w:ascii="Arial" w:hAnsi="Arial" w:cs="Arial"/>
                <w:b/>
                <w:noProof w:val="0"/>
              </w:rPr>
            </w:pPr>
            <w:r w:rsidRPr="00E20273">
              <w:rPr>
                <w:rFonts w:ascii="Arial" w:hAnsi="Arial" w:cs="Arial"/>
                <w:b/>
                <w:noProof w:val="0"/>
              </w:rPr>
              <w:t>E-mail:</w:t>
            </w:r>
          </w:p>
        </w:tc>
        <w:tc>
          <w:tcPr>
            <w:tcW w:w="6378" w:type="dxa"/>
            <w:shd w:val="clear" w:color="auto" w:fill="auto"/>
          </w:tcPr>
          <w:p w14:paraId="12E6CC33" w14:textId="77777777" w:rsidR="00915991" w:rsidRPr="00E20273" w:rsidRDefault="00274404" w:rsidP="00EA3DEF">
            <w:pPr>
              <w:spacing w:after="120"/>
              <w:rPr>
                <w:rFonts w:ascii="Arial" w:hAnsi="Arial" w:cs="Arial"/>
                <w:noProof w:val="0"/>
              </w:rPr>
            </w:pPr>
            <w:hyperlink r:id="rId9" w:history="1">
              <w:r w:rsidR="00915991" w:rsidRPr="00E20273">
                <w:rPr>
                  <w:rStyle w:val="Hyperlink"/>
                  <w:rFonts w:ascii="Arial" w:hAnsi="Arial" w:cs="Arial"/>
                  <w:noProof w:val="0"/>
                </w:rPr>
                <w:t>ian.hughes@local.gov.uk</w:t>
              </w:r>
            </w:hyperlink>
            <w:r w:rsidR="00915991" w:rsidRPr="00E20273">
              <w:rPr>
                <w:rFonts w:ascii="Arial" w:hAnsi="Arial" w:cs="Arial"/>
                <w:noProof w:val="0"/>
              </w:rPr>
              <w:t xml:space="preserve"> </w:t>
            </w:r>
          </w:p>
        </w:tc>
      </w:tr>
    </w:tbl>
    <w:p w14:paraId="5F4237CF" w14:textId="6EAFE077" w:rsidR="00915991" w:rsidRPr="00E20273" w:rsidRDefault="00915991" w:rsidP="00915991">
      <w:pPr>
        <w:pStyle w:val="ListParagraph"/>
        <w:spacing w:after="0" w:line="240" w:lineRule="auto"/>
        <w:rPr>
          <w:rFonts w:ascii="Arial" w:hAnsi="Arial" w:cs="Arial"/>
          <w:noProof w:val="0"/>
        </w:rPr>
      </w:pPr>
      <w:r w:rsidRPr="00E20273">
        <w:rPr>
          <w:rFonts w:ascii="Arial" w:hAnsi="Arial" w:cs="Arial"/>
          <w:noProof w:val="0"/>
        </w:rPr>
        <w:br w:type="page"/>
      </w:r>
    </w:p>
    <w:p w14:paraId="46CF8D73" w14:textId="77777777" w:rsidR="00915991" w:rsidRPr="00E20273" w:rsidRDefault="00915991" w:rsidP="00915991">
      <w:pPr>
        <w:spacing w:after="0" w:line="240" w:lineRule="auto"/>
        <w:rPr>
          <w:rFonts w:ascii="Arial" w:hAnsi="Arial" w:cs="Arial"/>
          <w:b/>
          <w:noProof w:val="0"/>
          <w:sz w:val="28"/>
          <w:szCs w:val="28"/>
        </w:rPr>
      </w:pPr>
    </w:p>
    <w:p w14:paraId="6906D969" w14:textId="395E96CF" w:rsidR="00915991" w:rsidRPr="00E20273" w:rsidRDefault="00915991" w:rsidP="00915991">
      <w:pPr>
        <w:spacing w:after="0" w:line="240" w:lineRule="auto"/>
        <w:rPr>
          <w:rFonts w:ascii="Arial" w:hAnsi="Arial" w:cs="Arial"/>
          <w:b/>
          <w:noProof w:val="0"/>
          <w:sz w:val="28"/>
          <w:szCs w:val="28"/>
        </w:rPr>
      </w:pPr>
      <w:r w:rsidRPr="00E20273">
        <w:rPr>
          <w:rFonts w:ascii="Arial" w:hAnsi="Arial" w:cs="Arial"/>
          <w:b/>
          <w:noProof w:val="0"/>
          <w:sz w:val="28"/>
          <w:szCs w:val="28"/>
        </w:rPr>
        <w:t>Council of Europe Peer Review of Local Democracy in the UK</w:t>
      </w:r>
    </w:p>
    <w:p w14:paraId="0A63E6DB" w14:textId="77777777" w:rsidR="00915991" w:rsidRPr="00E20273" w:rsidRDefault="00915991" w:rsidP="00915991">
      <w:pPr>
        <w:pStyle w:val="ListParagraph"/>
        <w:spacing w:after="0" w:line="240" w:lineRule="auto"/>
        <w:rPr>
          <w:rFonts w:ascii="Arial" w:hAnsi="Arial" w:cs="Arial"/>
          <w:noProof w:val="0"/>
        </w:rPr>
      </w:pPr>
    </w:p>
    <w:p w14:paraId="359C0D31" w14:textId="77777777" w:rsidR="00915991" w:rsidRPr="00E20273" w:rsidRDefault="00915991" w:rsidP="00915991">
      <w:pPr>
        <w:pStyle w:val="ListParagraph"/>
        <w:spacing w:after="0" w:line="240" w:lineRule="auto"/>
        <w:rPr>
          <w:rFonts w:ascii="Arial" w:hAnsi="Arial" w:cs="Arial"/>
          <w:noProof w:val="0"/>
        </w:rPr>
      </w:pPr>
    </w:p>
    <w:p w14:paraId="21A7C3E3" w14:textId="77777777" w:rsidR="005C3C37" w:rsidRPr="00E20273" w:rsidRDefault="005C3C37" w:rsidP="00915991">
      <w:pPr>
        <w:spacing w:after="0" w:line="240" w:lineRule="auto"/>
        <w:rPr>
          <w:rFonts w:ascii="Arial" w:hAnsi="Arial" w:cs="Arial"/>
          <w:b/>
          <w:noProof w:val="0"/>
        </w:rPr>
      </w:pPr>
      <w:r w:rsidRPr="00E20273">
        <w:rPr>
          <w:rFonts w:ascii="Arial" w:hAnsi="Arial" w:cs="Arial"/>
          <w:b/>
          <w:noProof w:val="0"/>
        </w:rPr>
        <w:t xml:space="preserve">Background </w:t>
      </w:r>
    </w:p>
    <w:p w14:paraId="7CCC4728" w14:textId="77777777" w:rsidR="00915991" w:rsidRPr="00E20273" w:rsidRDefault="00915991" w:rsidP="00915991">
      <w:pPr>
        <w:spacing w:after="0" w:line="240" w:lineRule="auto"/>
        <w:rPr>
          <w:rFonts w:ascii="Arial" w:hAnsi="Arial" w:cs="Arial"/>
          <w:b/>
          <w:noProof w:val="0"/>
        </w:rPr>
      </w:pPr>
    </w:p>
    <w:p w14:paraId="21A7C3E4" w14:textId="395EA888" w:rsidR="00D95531" w:rsidRPr="00E20273" w:rsidRDefault="005C3C37"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This Board has discussed the Congress “peer review” of UK local and regional democracy on several occasions.  To briefly recall, </w:t>
      </w:r>
      <w:r w:rsidR="00D95531" w:rsidRPr="00E20273">
        <w:rPr>
          <w:rFonts w:ascii="Arial" w:hAnsi="Arial" w:cs="Arial"/>
          <w:noProof w:val="0"/>
        </w:rPr>
        <w:t>the purpose of the European Charter of Local Self-Government is to identify common European standards for measuring and safeguarding local democracy. The Charter commits central governments to applying basic rules guaranteeing the political, administrative and financial independence of local authorities.</w:t>
      </w:r>
    </w:p>
    <w:p w14:paraId="21A7C3E5" w14:textId="77777777" w:rsidR="00D95531" w:rsidRPr="00E20273" w:rsidRDefault="00D95531" w:rsidP="00915991">
      <w:pPr>
        <w:pStyle w:val="ListParagraph"/>
        <w:spacing w:after="0" w:line="240" w:lineRule="auto"/>
        <w:rPr>
          <w:rFonts w:ascii="Arial" w:hAnsi="Arial" w:cs="Arial"/>
          <w:noProof w:val="0"/>
        </w:rPr>
      </w:pPr>
    </w:p>
    <w:p w14:paraId="21A7C3E6" w14:textId="77777777" w:rsidR="00D95531" w:rsidRPr="00E20273" w:rsidRDefault="00D95531"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Specifically, the Charter sets out the principles of local self-government: it defines the concept and establishes principles governing the nature and scope of local authorities' powers; ensures that they have autonomy as regards their administrative structures and access to competent staff and defines conditions for the holding of local elective office.</w:t>
      </w:r>
    </w:p>
    <w:p w14:paraId="21A7C3E7" w14:textId="77777777" w:rsidR="00D95531" w:rsidRPr="00E20273" w:rsidRDefault="00D95531" w:rsidP="00915991">
      <w:pPr>
        <w:pStyle w:val="ListParagraph"/>
        <w:spacing w:after="0" w:line="240" w:lineRule="auto"/>
        <w:rPr>
          <w:rFonts w:ascii="Arial" w:hAnsi="Arial" w:cs="Arial"/>
          <w:noProof w:val="0"/>
        </w:rPr>
      </w:pPr>
    </w:p>
    <w:p w14:paraId="21A7C3E8" w14:textId="77777777" w:rsidR="00D95531" w:rsidRPr="00E20273" w:rsidRDefault="00D95531"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Two major articles aim at limiting administrative supervision of the activities of local authorities and ensuring that they have adequate financial resources at their disposal on terms which do not impair their basic autonomy.</w:t>
      </w:r>
    </w:p>
    <w:p w14:paraId="21A7C3E9" w14:textId="77777777" w:rsidR="00D95531" w:rsidRPr="00E20273" w:rsidRDefault="00D95531" w:rsidP="00915991">
      <w:pPr>
        <w:pStyle w:val="ListParagraph"/>
        <w:spacing w:after="0" w:line="240" w:lineRule="auto"/>
        <w:rPr>
          <w:rFonts w:ascii="Arial" w:hAnsi="Arial" w:cs="Arial"/>
          <w:noProof w:val="0"/>
        </w:rPr>
      </w:pPr>
    </w:p>
    <w:p w14:paraId="21A7C3EA" w14:textId="77777777" w:rsidR="00D95531" w:rsidRPr="00E20273" w:rsidRDefault="00D95531"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As a long-established democratic state, the UK has only been evaluated once before (in 1998), whereas the newer democracies of Central and Eastern Europe are assessed more frequently.  Assessment is on the basis of peer review, and likewise compliance with Congress recommendations is based on peer pressure.</w:t>
      </w:r>
    </w:p>
    <w:p w14:paraId="21A7C3EB" w14:textId="77777777" w:rsidR="00D95531" w:rsidRPr="00E20273" w:rsidRDefault="00D95531" w:rsidP="00915991">
      <w:pPr>
        <w:pStyle w:val="ListParagraph"/>
        <w:spacing w:after="0" w:line="240" w:lineRule="auto"/>
        <w:rPr>
          <w:rFonts w:ascii="Arial" w:hAnsi="Arial" w:cs="Arial"/>
          <w:b/>
          <w:noProof w:val="0"/>
        </w:rPr>
      </w:pPr>
    </w:p>
    <w:p w14:paraId="21A7C3EC" w14:textId="77777777" w:rsidR="005C3C37" w:rsidRPr="00E20273" w:rsidRDefault="005C3C37" w:rsidP="00A15F28">
      <w:pPr>
        <w:spacing w:after="0" w:line="240" w:lineRule="auto"/>
        <w:rPr>
          <w:rFonts w:ascii="Arial" w:hAnsi="Arial" w:cs="Arial"/>
          <w:b/>
          <w:noProof w:val="0"/>
        </w:rPr>
      </w:pPr>
      <w:r w:rsidRPr="00E20273">
        <w:rPr>
          <w:rFonts w:ascii="Arial" w:hAnsi="Arial" w:cs="Arial"/>
          <w:b/>
          <w:noProof w:val="0"/>
        </w:rPr>
        <w:t>2014 report</w:t>
      </w:r>
    </w:p>
    <w:p w14:paraId="21A7C3ED" w14:textId="77777777" w:rsidR="00D95531" w:rsidRPr="00E20273" w:rsidRDefault="00D95531" w:rsidP="00915991">
      <w:pPr>
        <w:pStyle w:val="ListParagraph"/>
        <w:spacing w:after="0" w:line="240" w:lineRule="auto"/>
        <w:rPr>
          <w:rFonts w:ascii="Arial" w:hAnsi="Arial" w:cs="Arial"/>
          <w:b/>
          <w:noProof w:val="0"/>
        </w:rPr>
      </w:pPr>
    </w:p>
    <w:p w14:paraId="21A7C3EE" w14:textId="77777777" w:rsidR="005C3C37" w:rsidRPr="00E20273" w:rsidRDefault="007A20DD"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In March</w:t>
      </w:r>
      <w:r w:rsidR="000D36D5" w:rsidRPr="00E20273">
        <w:rPr>
          <w:rFonts w:ascii="Arial" w:hAnsi="Arial" w:cs="Arial"/>
          <w:noProof w:val="0"/>
        </w:rPr>
        <w:t xml:space="preserve"> 2014</w:t>
      </w:r>
      <w:r w:rsidRPr="00E20273">
        <w:rPr>
          <w:rFonts w:ascii="Arial" w:hAnsi="Arial" w:cs="Arial"/>
          <w:noProof w:val="0"/>
        </w:rPr>
        <w:t>, the Congress adopt</w:t>
      </w:r>
      <w:r w:rsidR="000D36D5" w:rsidRPr="00E20273">
        <w:rPr>
          <w:rFonts w:ascii="Arial" w:hAnsi="Arial" w:cs="Arial"/>
          <w:noProof w:val="0"/>
        </w:rPr>
        <w:t>ed its</w:t>
      </w:r>
      <w:r w:rsidRPr="00E20273">
        <w:rPr>
          <w:rFonts w:ascii="Arial" w:hAnsi="Arial" w:cs="Arial"/>
          <w:noProof w:val="0"/>
        </w:rPr>
        <w:t xml:space="preserve"> report on the situation of local and regional democracy in the United Kingdom. Th</w:t>
      </w:r>
      <w:r w:rsidR="00EA75F5" w:rsidRPr="00E20273">
        <w:rPr>
          <w:rFonts w:ascii="Arial" w:hAnsi="Arial" w:cs="Arial"/>
          <w:noProof w:val="0"/>
        </w:rPr>
        <w:t>e</w:t>
      </w:r>
      <w:r w:rsidRPr="00E20273">
        <w:rPr>
          <w:rFonts w:ascii="Arial" w:hAnsi="Arial" w:cs="Arial"/>
          <w:noProof w:val="0"/>
        </w:rPr>
        <w:t>ir report was drafted by elected politicians from outside the UK and was based on two fact-finding visits to London, L</w:t>
      </w:r>
      <w:bookmarkStart w:id="0" w:name="_GoBack"/>
      <w:bookmarkEnd w:id="0"/>
      <w:r w:rsidRPr="00E20273">
        <w:rPr>
          <w:rFonts w:ascii="Arial" w:hAnsi="Arial" w:cs="Arial"/>
          <w:noProof w:val="0"/>
        </w:rPr>
        <w:t>eeds, Scotland and Wales, involving meetings with LGA members, local councils, Ministers and peers, and civil servants.</w:t>
      </w:r>
      <w:r w:rsidR="005C3C37" w:rsidRPr="00E20273">
        <w:rPr>
          <w:rFonts w:ascii="Arial" w:hAnsi="Arial" w:cs="Arial"/>
          <w:noProof w:val="0"/>
        </w:rPr>
        <w:t xml:space="preserve"> </w:t>
      </w:r>
    </w:p>
    <w:p w14:paraId="21A7C3EF" w14:textId="77777777" w:rsidR="00D95531" w:rsidRPr="00E20273" w:rsidRDefault="00D95531" w:rsidP="00915991">
      <w:pPr>
        <w:pStyle w:val="ListParagraph"/>
        <w:spacing w:after="0" w:line="240" w:lineRule="auto"/>
        <w:rPr>
          <w:rFonts w:ascii="Arial" w:hAnsi="Arial" w:cs="Arial"/>
          <w:noProof w:val="0"/>
        </w:rPr>
      </w:pPr>
    </w:p>
    <w:p w14:paraId="60F81FDE" w14:textId="40BA40FA" w:rsidR="00C70906" w:rsidRDefault="00B626E2" w:rsidP="00C70906">
      <w:pPr>
        <w:pStyle w:val="ListParagraph"/>
        <w:numPr>
          <w:ilvl w:val="0"/>
          <w:numId w:val="1"/>
        </w:numPr>
        <w:spacing w:after="0" w:line="240" w:lineRule="auto"/>
        <w:rPr>
          <w:rFonts w:ascii="Arial" w:hAnsi="Arial" w:cs="Arial"/>
          <w:noProof w:val="0"/>
        </w:rPr>
      </w:pPr>
      <w:r w:rsidRPr="00B626E2">
        <w:rPr>
          <w:rFonts w:ascii="Arial" w:hAnsi="Arial" w:cs="Arial"/>
          <w:noProof w:val="0"/>
        </w:rPr>
        <w:t>The LGA commissioned an external evaluation by Jeremy Smith, a barrister by profession and with extensive knowledge of UK local government, the Council of Europe and the Charter.  His findings were largely consistent with LGA policy on for greater localism, and were adopted by the LGA as its submission to the Congress Review.</w:t>
      </w:r>
    </w:p>
    <w:p w14:paraId="445B8439" w14:textId="77777777" w:rsidR="00B626E2" w:rsidRPr="00B626E2" w:rsidRDefault="00B626E2" w:rsidP="00B626E2">
      <w:pPr>
        <w:spacing w:after="0" w:line="240" w:lineRule="auto"/>
        <w:rPr>
          <w:rFonts w:ascii="Arial" w:hAnsi="Arial" w:cs="Arial"/>
          <w:noProof w:val="0"/>
        </w:rPr>
      </w:pPr>
    </w:p>
    <w:p w14:paraId="21A7C3F1" w14:textId="77777777" w:rsidR="00D95531" w:rsidRPr="00E20273" w:rsidRDefault="00D95531"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The </w:t>
      </w:r>
      <w:r w:rsidR="001F2C64" w:rsidRPr="00E20273">
        <w:rPr>
          <w:rFonts w:ascii="Arial" w:hAnsi="Arial" w:cs="Arial"/>
          <w:noProof w:val="0"/>
        </w:rPr>
        <w:t xml:space="preserve">Congress </w:t>
      </w:r>
      <w:r w:rsidRPr="00E20273">
        <w:rPr>
          <w:rFonts w:ascii="Arial" w:hAnsi="Arial" w:cs="Arial"/>
          <w:noProof w:val="0"/>
        </w:rPr>
        <w:t>report expresses satisfaction that the UK is - in general - in compliance with the obligations t</w:t>
      </w:r>
      <w:r w:rsidR="000D36D5" w:rsidRPr="00E20273">
        <w:rPr>
          <w:rFonts w:ascii="Arial" w:hAnsi="Arial" w:cs="Arial"/>
          <w:noProof w:val="0"/>
        </w:rPr>
        <w:t>aken under the Charter and that</w:t>
      </w:r>
      <w:r w:rsidRPr="00E20273">
        <w:rPr>
          <w:rFonts w:ascii="Arial" w:hAnsi="Arial" w:cs="Arial"/>
          <w:noProof w:val="0"/>
        </w:rPr>
        <w:t xml:space="preserve"> compared to the last evaluation in </w:t>
      </w:r>
      <w:r w:rsidR="000D36D5" w:rsidRPr="00E20273">
        <w:rPr>
          <w:rFonts w:ascii="Arial" w:hAnsi="Arial" w:cs="Arial"/>
          <w:noProof w:val="0"/>
        </w:rPr>
        <w:t>1998</w:t>
      </w:r>
      <w:r w:rsidRPr="00E20273">
        <w:rPr>
          <w:rFonts w:ascii="Arial" w:hAnsi="Arial" w:cs="Arial"/>
          <w:noProof w:val="0"/>
        </w:rPr>
        <w:t xml:space="preserve"> the situation has improved, notably through the devolution process. As regards consultation procedures, the report welcomes the successful partnership approach adopted in Scotland, Wales and Northern Ireland. </w:t>
      </w:r>
    </w:p>
    <w:p w14:paraId="21A7C3F2" w14:textId="77777777" w:rsidR="00D95531" w:rsidRPr="00E20273" w:rsidRDefault="00D95531" w:rsidP="00915991">
      <w:pPr>
        <w:pStyle w:val="ListParagraph"/>
        <w:spacing w:after="0" w:line="240" w:lineRule="auto"/>
        <w:rPr>
          <w:rFonts w:ascii="Arial" w:hAnsi="Arial" w:cs="Arial"/>
          <w:noProof w:val="0"/>
        </w:rPr>
      </w:pPr>
    </w:p>
    <w:p w14:paraId="21A7C3F3" w14:textId="77777777" w:rsidR="00D95531" w:rsidRPr="00E20273" w:rsidRDefault="00D95531"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The Congress notes some areas of concern, particularly as regards the financial resources of local authorities in England, their limited taxing powers and their dependence on government grants. It also underlines that there are ambiguities that </w:t>
      </w:r>
      <w:r w:rsidRPr="00E20273">
        <w:rPr>
          <w:rFonts w:ascii="Arial" w:hAnsi="Arial" w:cs="Arial"/>
          <w:noProof w:val="0"/>
        </w:rPr>
        <w:lastRenderedPageBreak/>
        <w:t xml:space="preserve">need to be addressed in areas such as the lack of recognition in law of the right to local self-government, and the limitation of local authorities’ discretion to manage local affairs through the intervention by various ministries of central government. </w:t>
      </w:r>
    </w:p>
    <w:p w14:paraId="21A7C3F4" w14:textId="77777777" w:rsidR="00D95531" w:rsidRPr="00E20273" w:rsidRDefault="00D95531" w:rsidP="00915991">
      <w:pPr>
        <w:pStyle w:val="ListParagraph"/>
        <w:spacing w:after="0" w:line="240" w:lineRule="auto"/>
        <w:rPr>
          <w:rFonts w:ascii="Arial" w:hAnsi="Arial" w:cs="Arial"/>
          <w:noProof w:val="0"/>
        </w:rPr>
      </w:pPr>
    </w:p>
    <w:p w14:paraId="21A7C3F5" w14:textId="52F52732" w:rsidR="00D95531" w:rsidRPr="00E20273" w:rsidRDefault="00D95531"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The Congress therefore invites the Government to consider the various existing codification proposals for local government in England in order to strengthen the position of local authorities. They recommend that the Government takes measures to reduce the financial burden on local authorities arising from budget cuts and indebtedness, and reinforce the role of elected office holders by improving their status. They encourage the UK authorities to update their declaration concerning the scope of the application of the Charter to include the </w:t>
      </w:r>
      <w:r w:rsidR="00261FDF" w:rsidRPr="00E20273">
        <w:rPr>
          <w:rFonts w:ascii="Arial" w:hAnsi="Arial" w:cs="Arial"/>
          <w:noProof w:val="0"/>
        </w:rPr>
        <w:t xml:space="preserve">Greater London </w:t>
      </w:r>
      <w:r w:rsidR="00E20273" w:rsidRPr="00E20273">
        <w:rPr>
          <w:rFonts w:ascii="Arial" w:hAnsi="Arial" w:cs="Arial"/>
          <w:noProof w:val="0"/>
        </w:rPr>
        <w:t>Authority</w:t>
      </w:r>
      <w:r w:rsidR="00261FDF" w:rsidRPr="00E20273">
        <w:rPr>
          <w:rFonts w:ascii="Arial" w:hAnsi="Arial" w:cs="Arial"/>
          <w:noProof w:val="0"/>
        </w:rPr>
        <w:t xml:space="preserve"> (</w:t>
      </w:r>
      <w:r w:rsidRPr="00E20273">
        <w:rPr>
          <w:rFonts w:ascii="Arial" w:hAnsi="Arial" w:cs="Arial"/>
          <w:noProof w:val="0"/>
        </w:rPr>
        <w:t>GLA</w:t>
      </w:r>
      <w:r w:rsidR="00261FDF" w:rsidRPr="00E20273">
        <w:rPr>
          <w:rFonts w:ascii="Arial" w:hAnsi="Arial" w:cs="Arial"/>
          <w:noProof w:val="0"/>
        </w:rPr>
        <w:t>)</w:t>
      </w:r>
      <w:r w:rsidRPr="00E20273">
        <w:rPr>
          <w:rFonts w:ascii="Arial" w:hAnsi="Arial" w:cs="Arial"/>
          <w:noProof w:val="0"/>
        </w:rPr>
        <w:t xml:space="preserve"> as well as Northern Ireland.</w:t>
      </w:r>
    </w:p>
    <w:p w14:paraId="21A7C3F6" w14:textId="77777777" w:rsidR="00D95531" w:rsidRPr="00E20273" w:rsidRDefault="00D95531" w:rsidP="00915991">
      <w:pPr>
        <w:pStyle w:val="ListParagraph"/>
        <w:spacing w:after="0" w:line="240" w:lineRule="auto"/>
        <w:rPr>
          <w:rFonts w:ascii="Arial" w:hAnsi="Arial" w:cs="Arial"/>
          <w:noProof w:val="0"/>
        </w:rPr>
      </w:pPr>
    </w:p>
    <w:p w14:paraId="3F99F81D" w14:textId="77777777" w:rsidR="00B626E2" w:rsidRDefault="00B626E2" w:rsidP="00B626E2">
      <w:pPr>
        <w:pStyle w:val="PlainText"/>
        <w:numPr>
          <w:ilvl w:val="0"/>
          <w:numId w:val="1"/>
        </w:numPr>
      </w:pPr>
      <w:r>
        <w:t xml:space="preserve">The Congress peer review provides an independent evaluation of a number of the objectives in the LGA’s </w:t>
      </w:r>
      <w:r w:rsidRPr="00B626E2">
        <w:rPr>
          <w:i/>
        </w:rPr>
        <w:t>Rewiring</w:t>
      </w:r>
      <w:r>
        <w:t xml:space="preserve"> campaign.</w:t>
      </w:r>
    </w:p>
    <w:p w14:paraId="21A7C3F8" w14:textId="77777777" w:rsidR="00D95531" w:rsidRPr="00E20273" w:rsidRDefault="00D95531" w:rsidP="00915991">
      <w:pPr>
        <w:pStyle w:val="ListParagraph"/>
        <w:spacing w:after="0" w:line="240" w:lineRule="auto"/>
        <w:rPr>
          <w:rFonts w:ascii="Arial" w:hAnsi="Arial" w:cs="Arial"/>
          <w:noProof w:val="0"/>
        </w:rPr>
      </w:pPr>
    </w:p>
    <w:p w14:paraId="21A7C3F9" w14:textId="2E68DED0" w:rsidR="007A20DD" w:rsidRPr="00E20273" w:rsidRDefault="007A20DD" w:rsidP="00915991">
      <w:pPr>
        <w:pStyle w:val="ListParagraph"/>
        <w:numPr>
          <w:ilvl w:val="0"/>
          <w:numId w:val="1"/>
        </w:numPr>
        <w:spacing w:after="0" w:line="240" w:lineRule="auto"/>
        <w:rPr>
          <w:rStyle w:val="Hyperlink"/>
          <w:rFonts w:ascii="Arial" w:hAnsi="Arial" w:cs="Arial"/>
          <w:noProof w:val="0"/>
          <w:color w:val="auto"/>
          <w:u w:val="none"/>
        </w:rPr>
      </w:pPr>
      <w:r w:rsidRPr="00E20273">
        <w:rPr>
          <w:rFonts w:ascii="Arial" w:hAnsi="Arial" w:cs="Arial"/>
          <w:noProof w:val="0"/>
        </w:rPr>
        <w:t xml:space="preserve">The Congress recommendations are not binding on the UK </w:t>
      </w:r>
      <w:r w:rsidR="00E20273" w:rsidRPr="00E20273">
        <w:rPr>
          <w:rFonts w:ascii="Arial" w:hAnsi="Arial" w:cs="Arial"/>
          <w:noProof w:val="0"/>
        </w:rPr>
        <w:t>Government;</w:t>
      </w:r>
      <w:r w:rsidRPr="00E20273">
        <w:rPr>
          <w:rFonts w:ascii="Arial" w:hAnsi="Arial" w:cs="Arial"/>
          <w:noProof w:val="0"/>
        </w:rPr>
        <w:t xml:space="preserve"> however their compliance with them will be assessed in a future report.  The Congress recomm</w:t>
      </w:r>
      <w:r w:rsidR="00E111E2" w:rsidRPr="00E20273">
        <w:rPr>
          <w:rFonts w:ascii="Arial" w:hAnsi="Arial" w:cs="Arial"/>
          <w:noProof w:val="0"/>
        </w:rPr>
        <w:t>endations can be accessed here:</w:t>
      </w:r>
      <w:r w:rsidR="00EA75F5" w:rsidRPr="00E20273">
        <w:rPr>
          <w:rFonts w:ascii="Arial" w:hAnsi="Arial" w:cs="Arial"/>
          <w:noProof w:val="0"/>
        </w:rPr>
        <w:t xml:space="preserve"> </w:t>
      </w:r>
      <w:hyperlink r:id="rId10" w:history="1">
        <w:r w:rsidR="00EA75F5" w:rsidRPr="00E20273">
          <w:rPr>
            <w:rStyle w:val="Hyperlink"/>
            <w:rFonts w:ascii="Arial" w:hAnsi="Arial" w:cs="Arial"/>
            <w:noProof w:val="0"/>
          </w:rPr>
          <w:t>www.coe.int/t/Congress/</w:t>
        </w:r>
      </w:hyperlink>
      <w:r w:rsidR="00E111E2" w:rsidRPr="00E20273">
        <w:rPr>
          <w:rStyle w:val="Hyperlink"/>
          <w:rFonts w:ascii="Arial" w:hAnsi="Arial" w:cs="Arial"/>
          <w:noProof w:val="0"/>
        </w:rPr>
        <w:t>.</w:t>
      </w:r>
    </w:p>
    <w:p w14:paraId="7FF91172" w14:textId="77777777" w:rsidR="00FF304F" w:rsidRPr="00E20273" w:rsidRDefault="00FF304F" w:rsidP="00FF304F">
      <w:pPr>
        <w:spacing w:after="0" w:line="240" w:lineRule="auto"/>
        <w:rPr>
          <w:rFonts w:ascii="Arial" w:hAnsi="Arial" w:cs="Arial"/>
          <w:noProof w:val="0"/>
        </w:rPr>
      </w:pPr>
    </w:p>
    <w:p w14:paraId="21A7C3FB" w14:textId="77777777" w:rsidR="0093236A" w:rsidRPr="00E20273" w:rsidRDefault="0093236A" w:rsidP="00FF304F">
      <w:pPr>
        <w:spacing w:after="0" w:line="240" w:lineRule="auto"/>
        <w:rPr>
          <w:rFonts w:ascii="Arial" w:hAnsi="Arial" w:cs="Arial"/>
          <w:b/>
          <w:noProof w:val="0"/>
        </w:rPr>
      </w:pPr>
      <w:r w:rsidRPr="00E20273">
        <w:rPr>
          <w:rFonts w:ascii="Arial" w:hAnsi="Arial" w:cs="Arial"/>
          <w:b/>
          <w:noProof w:val="0"/>
        </w:rPr>
        <w:t>Next steps</w:t>
      </w:r>
    </w:p>
    <w:p w14:paraId="21A7C3FC" w14:textId="77777777" w:rsidR="0093236A" w:rsidRPr="00E20273" w:rsidRDefault="0093236A" w:rsidP="00915991">
      <w:pPr>
        <w:pStyle w:val="ListParagraph"/>
        <w:spacing w:after="0" w:line="240" w:lineRule="auto"/>
        <w:rPr>
          <w:rFonts w:ascii="Arial" w:hAnsi="Arial" w:cs="Arial"/>
          <w:noProof w:val="0"/>
        </w:rPr>
      </w:pPr>
    </w:p>
    <w:p w14:paraId="21A7C3FD" w14:textId="0A528FED" w:rsidR="00B46758" w:rsidRPr="00E20273" w:rsidRDefault="001F2C64"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Two Board </w:t>
      </w:r>
      <w:r w:rsidR="00E111E2" w:rsidRPr="00E20273">
        <w:rPr>
          <w:rFonts w:ascii="Arial" w:hAnsi="Arial" w:cs="Arial"/>
          <w:noProof w:val="0"/>
        </w:rPr>
        <w:t xml:space="preserve">Members, Cllr Reid and Cllr Batson, </w:t>
      </w:r>
      <w:r w:rsidR="00A753B1" w:rsidRPr="00E20273">
        <w:rPr>
          <w:rFonts w:ascii="Arial" w:hAnsi="Arial" w:cs="Arial"/>
          <w:noProof w:val="0"/>
        </w:rPr>
        <w:t>a</w:t>
      </w:r>
      <w:r w:rsidR="00E111E2" w:rsidRPr="00E20273">
        <w:rPr>
          <w:rFonts w:ascii="Arial" w:hAnsi="Arial" w:cs="Arial"/>
          <w:noProof w:val="0"/>
        </w:rPr>
        <w:t>re also M</w:t>
      </w:r>
      <w:r w:rsidRPr="00E20273">
        <w:rPr>
          <w:rFonts w:ascii="Arial" w:hAnsi="Arial" w:cs="Arial"/>
          <w:noProof w:val="0"/>
        </w:rPr>
        <w:t>embers of the Congress delegation.  They were present in the Congress Chamber when the report was agreed and they will report back at the Board meeting.</w:t>
      </w:r>
    </w:p>
    <w:p w14:paraId="21A7C3FE" w14:textId="77777777" w:rsidR="001F2C64" w:rsidRPr="00E20273" w:rsidRDefault="001F2C64" w:rsidP="00915991">
      <w:pPr>
        <w:pStyle w:val="ListParagraph"/>
        <w:spacing w:after="0" w:line="240" w:lineRule="auto"/>
        <w:rPr>
          <w:rFonts w:ascii="Arial" w:hAnsi="Arial" w:cs="Arial"/>
          <w:noProof w:val="0"/>
        </w:rPr>
      </w:pPr>
    </w:p>
    <w:p w14:paraId="21A7C3FF" w14:textId="78F299FA" w:rsidR="001F2C64" w:rsidRPr="00E20273" w:rsidRDefault="001F2C64" w:rsidP="00915991">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Members may wish to discuss how the recommendations of the report can be pursued with </w:t>
      </w:r>
      <w:r w:rsidR="00E111E2" w:rsidRPr="00E20273">
        <w:rPr>
          <w:rFonts w:ascii="Arial" w:hAnsi="Arial" w:cs="Arial"/>
          <w:noProof w:val="0"/>
        </w:rPr>
        <w:t xml:space="preserve">the Department of Communities and Local Government (DCLG) </w:t>
      </w:r>
      <w:r w:rsidRPr="00E20273">
        <w:rPr>
          <w:rFonts w:ascii="Arial" w:hAnsi="Arial" w:cs="Arial"/>
          <w:noProof w:val="0"/>
        </w:rPr>
        <w:t>and through discussions with partners and LGA Vice Presidents.</w:t>
      </w:r>
    </w:p>
    <w:p w14:paraId="21A7C400" w14:textId="77777777" w:rsidR="0093236A" w:rsidRPr="00E20273" w:rsidRDefault="0093236A" w:rsidP="00915991">
      <w:pPr>
        <w:spacing w:after="0" w:line="240" w:lineRule="auto"/>
        <w:ind w:left="360"/>
        <w:rPr>
          <w:rFonts w:ascii="Arial" w:hAnsi="Arial" w:cs="Arial"/>
          <w:noProof w:val="0"/>
        </w:rPr>
      </w:pPr>
    </w:p>
    <w:p w14:paraId="21A7C401" w14:textId="77777777" w:rsidR="0093236A" w:rsidRPr="00915991" w:rsidRDefault="0093236A" w:rsidP="00915991">
      <w:pPr>
        <w:spacing w:after="0" w:line="240" w:lineRule="auto"/>
        <w:rPr>
          <w:rFonts w:ascii="Arial" w:hAnsi="Arial" w:cs="Arial"/>
        </w:rPr>
      </w:pPr>
    </w:p>
    <w:sectPr w:rsidR="0093236A" w:rsidRPr="009159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AE574" w14:textId="77777777" w:rsidR="00915991" w:rsidRDefault="00915991" w:rsidP="00915991">
      <w:pPr>
        <w:spacing w:after="0" w:line="240" w:lineRule="auto"/>
      </w:pPr>
      <w:r>
        <w:separator/>
      </w:r>
    </w:p>
  </w:endnote>
  <w:endnote w:type="continuationSeparator" w:id="0">
    <w:p w14:paraId="5ED60F66" w14:textId="77777777" w:rsidR="00915991" w:rsidRDefault="00915991" w:rsidP="0091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6407" w14:textId="77777777" w:rsidR="00F8357F" w:rsidRDefault="00F83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6A7" w14:textId="77777777" w:rsidR="00F8357F" w:rsidRDefault="00F83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1FAD" w14:textId="77777777" w:rsidR="00F8357F" w:rsidRDefault="00F83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23345" w14:textId="77777777" w:rsidR="00915991" w:rsidRDefault="00915991" w:rsidP="00915991">
      <w:pPr>
        <w:spacing w:after="0" w:line="240" w:lineRule="auto"/>
      </w:pPr>
      <w:r>
        <w:separator/>
      </w:r>
    </w:p>
  </w:footnote>
  <w:footnote w:type="continuationSeparator" w:id="0">
    <w:p w14:paraId="20E176AF" w14:textId="77777777" w:rsidR="00915991" w:rsidRDefault="00915991" w:rsidP="0091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7574" w14:textId="77777777" w:rsidR="00F8357F" w:rsidRDefault="00F83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4687" w14:textId="77777777" w:rsidR="00BE415B" w:rsidRDefault="00BE415B"/>
  <w:tbl>
    <w:tblPr>
      <w:tblW w:w="0" w:type="auto"/>
      <w:tblLook w:val="01E0" w:firstRow="1" w:lastRow="1" w:firstColumn="1" w:lastColumn="1" w:noHBand="0" w:noVBand="0"/>
    </w:tblPr>
    <w:tblGrid>
      <w:gridCol w:w="5637"/>
      <w:gridCol w:w="3605"/>
    </w:tblGrid>
    <w:tr w:rsidR="00915991" w:rsidRPr="00915991" w14:paraId="0F9FADEF" w14:textId="77777777" w:rsidTr="00F8357F">
      <w:tc>
        <w:tcPr>
          <w:tcW w:w="5637" w:type="dxa"/>
          <w:vMerge w:val="restart"/>
          <w:shd w:val="clear" w:color="auto" w:fill="auto"/>
        </w:tcPr>
        <w:p w14:paraId="01596D25" w14:textId="77777777" w:rsidR="00915991" w:rsidRPr="00915991" w:rsidRDefault="00915991" w:rsidP="00915991">
          <w:pPr>
            <w:tabs>
              <w:tab w:val="center" w:pos="2923"/>
            </w:tabs>
            <w:spacing w:after="0" w:line="240" w:lineRule="auto"/>
            <w:rPr>
              <w:rFonts w:ascii="Arial" w:hAnsi="Arial" w:cs="Arial"/>
              <w:noProof w:val="0"/>
            </w:rPr>
          </w:pPr>
          <w:r w:rsidRPr="00915991">
            <w:rPr>
              <w:rFonts w:ascii="Arial" w:hAnsi="Arial" w:cs="Arial"/>
              <w:lang w:eastAsia="en-GB"/>
            </w:rPr>
            <w:drawing>
              <wp:inline distT="0" distB="0" distL="0" distR="0" wp14:anchorId="02650D98" wp14:editId="79C7200F">
                <wp:extent cx="12496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915991">
            <w:rPr>
              <w:rFonts w:ascii="Arial" w:hAnsi="Arial" w:cs="Arial"/>
              <w:noProof w:val="0"/>
            </w:rPr>
            <w:tab/>
          </w:r>
        </w:p>
      </w:tc>
      <w:tc>
        <w:tcPr>
          <w:tcW w:w="3605" w:type="dxa"/>
          <w:shd w:val="clear" w:color="auto" w:fill="auto"/>
        </w:tcPr>
        <w:p w14:paraId="5EBCE4BA" w14:textId="77777777" w:rsidR="00915991" w:rsidRPr="00915991" w:rsidRDefault="00915991" w:rsidP="00915991">
          <w:pPr>
            <w:tabs>
              <w:tab w:val="center" w:pos="4153"/>
              <w:tab w:val="right" w:pos="8306"/>
            </w:tabs>
            <w:spacing w:after="0" w:line="240" w:lineRule="auto"/>
            <w:rPr>
              <w:rFonts w:ascii="Arial" w:hAnsi="Arial" w:cs="Arial"/>
              <w:b/>
              <w:noProof w:val="0"/>
            </w:rPr>
          </w:pPr>
          <w:r w:rsidRPr="00915991">
            <w:rPr>
              <w:rFonts w:ascii="Arial" w:hAnsi="Arial" w:cs="Arial"/>
              <w:b/>
              <w:noProof w:val="0"/>
            </w:rPr>
            <w:t>European and International Board</w:t>
          </w:r>
        </w:p>
      </w:tc>
    </w:tr>
    <w:tr w:rsidR="00915991" w:rsidRPr="00915991" w14:paraId="43C547EC" w14:textId="77777777" w:rsidTr="00F8357F">
      <w:trPr>
        <w:trHeight w:val="450"/>
      </w:trPr>
      <w:tc>
        <w:tcPr>
          <w:tcW w:w="5637" w:type="dxa"/>
          <w:vMerge/>
          <w:shd w:val="clear" w:color="auto" w:fill="auto"/>
        </w:tcPr>
        <w:p w14:paraId="7BE05A26" w14:textId="77777777" w:rsidR="00915991" w:rsidRPr="00915991" w:rsidRDefault="00915991" w:rsidP="00915991">
          <w:pPr>
            <w:tabs>
              <w:tab w:val="center" w:pos="4153"/>
              <w:tab w:val="right" w:pos="8306"/>
            </w:tabs>
            <w:spacing w:after="0" w:line="240" w:lineRule="auto"/>
            <w:rPr>
              <w:rFonts w:ascii="Arial" w:hAnsi="Arial" w:cs="Arial"/>
              <w:noProof w:val="0"/>
            </w:rPr>
          </w:pPr>
        </w:p>
      </w:tc>
      <w:tc>
        <w:tcPr>
          <w:tcW w:w="3605" w:type="dxa"/>
          <w:shd w:val="clear" w:color="auto" w:fill="auto"/>
        </w:tcPr>
        <w:p w14:paraId="68EF6A13" w14:textId="77777777" w:rsidR="00915991" w:rsidRPr="00915991" w:rsidRDefault="00915991" w:rsidP="00915991">
          <w:pPr>
            <w:tabs>
              <w:tab w:val="center" w:pos="4153"/>
              <w:tab w:val="right" w:pos="8306"/>
            </w:tabs>
            <w:spacing w:before="60" w:after="0" w:line="240" w:lineRule="auto"/>
            <w:rPr>
              <w:rFonts w:ascii="Arial" w:hAnsi="Arial" w:cs="Arial"/>
              <w:noProof w:val="0"/>
            </w:rPr>
          </w:pPr>
          <w:r w:rsidRPr="00915991">
            <w:rPr>
              <w:rFonts w:ascii="Arial" w:hAnsi="Arial" w:cs="Arial"/>
              <w:noProof w:val="0"/>
            </w:rPr>
            <w:t>8 April 2014</w:t>
          </w:r>
        </w:p>
      </w:tc>
    </w:tr>
  </w:tbl>
  <w:p w14:paraId="21800EA9" w14:textId="77777777" w:rsidR="00915991" w:rsidRDefault="00915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95BE" w14:textId="77777777" w:rsidR="00F8357F" w:rsidRDefault="00F83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DD"/>
    <w:rsid w:val="000D36D5"/>
    <w:rsid w:val="001016EB"/>
    <w:rsid w:val="001F2C64"/>
    <w:rsid w:val="00261FDF"/>
    <w:rsid w:val="00274404"/>
    <w:rsid w:val="00462CC3"/>
    <w:rsid w:val="005C3C37"/>
    <w:rsid w:val="007A20DD"/>
    <w:rsid w:val="007E18C6"/>
    <w:rsid w:val="008035D7"/>
    <w:rsid w:val="00915991"/>
    <w:rsid w:val="0093236A"/>
    <w:rsid w:val="00A15F28"/>
    <w:rsid w:val="00A753B1"/>
    <w:rsid w:val="00B46758"/>
    <w:rsid w:val="00B626E2"/>
    <w:rsid w:val="00BE415B"/>
    <w:rsid w:val="00C70906"/>
    <w:rsid w:val="00D95531"/>
    <w:rsid w:val="00E111E2"/>
    <w:rsid w:val="00E20273"/>
    <w:rsid w:val="00EA75F5"/>
    <w:rsid w:val="00F50C26"/>
    <w:rsid w:val="00F8357F"/>
    <w:rsid w:val="00FC5731"/>
    <w:rsid w:val="00FF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5F5"/>
    <w:rPr>
      <w:color w:val="0000FF" w:themeColor="hyperlink"/>
      <w:u w:val="single"/>
    </w:rPr>
  </w:style>
  <w:style w:type="paragraph" w:styleId="ListParagraph">
    <w:name w:val="List Paragraph"/>
    <w:basedOn w:val="Normal"/>
    <w:uiPriority w:val="34"/>
    <w:qFormat/>
    <w:rsid w:val="00D95531"/>
    <w:pPr>
      <w:ind w:left="720"/>
      <w:contextualSpacing/>
    </w:pPr>
  </w:style>
  <w:style w:type="paragraph" w:styleId="Header">
    <w:name w:val="header"/>
    <w:basedOn w:val="Normal"/>
    <w:link w:val="HeaderChar"/>
    <w:uiPriority w:val="99"/>
    <w:unhideWhenUsed/>
    <w:rsid w:val="0091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91"/>
    <w:rPr>
      <w:noProof/>
    </w:rPr>
  </w:style>
  <w:style w:type="paragraph" w:styleId="Footer">
    <w:name w:val="footer"/>
    <w:basedOn w:val="Normal"/>
    <w:link w:val="FooterChar"/>
    <w:uiPriority w:val="99"/>
    <w:unhideWhenUsed/>
    <w:rsid w:val="0091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91"/>
    <w:rPr>
      <w:noProof/>
    </w:rPr>
  </w:style>
  <w:style w:type="paragraph" w:styleId="BalloonText">
    <w:name w:val="Balloon Text"/>
    <w:basedOn w:val="Normal"/>
    <w:link w:val="BalloonTextChar"/>
    <w:uiPriority w:val="99"/>
    <w:semiHidden/>
    <w:unhideWhenUsed/>
    <w:rsid w:val="00915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91"/>
    <w:rPr>
      <w:rFonts w:ascii="Tahoma" w:hAnsi="Tahoma" w:cs="Tahoma"/>
      <w:noProof/>
      <w:sz w:val="16"/>
      <w:szCs w:val="16"/>
    </w:rPr>
  </w:style>
  <w:style w:type="paragraph" w:customStyle="1" w:styleId="Default">
    <w:name w:val="Default"/>
    <w:rsid w:val="0091599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111E2"/>
    <w:rPr>
      <w:color w:val="800080" w:themeColor="followedHyperlink"/>
      <w:u w:val="single"/>
    </w:rPr>
  </w:style>
  <w:style w:type="paragraph" w:styleId="PlainText">
    <w:name w:val="Plain Text"/>
    <w:basedOn w:val="Normal"/>
    <w:link w:val="PlainTextChar"/>
    <w:uiPriority w:val="99"/>
    <w:semiHidden/>
    <w:unhideWhenUsed/>
    <w:rsid w:val="00B626E2"/>
    <w:pPr>
      <w:spacing w:after="0" w:line="240" w:lineRule="auto"/>
    </w:pPr>
    <w:rPr>
      <w:rFonts w:ascii="Arial" w:hAnsi="Arial" w:cs="Consolas"/>
      <w:noProof w:val="0"/>
      <w:szCs w:val="21"/>
    </w:rPr>
  </w:style>
  <w:style w:type="character" w:customStyle="1" w:styleId="PlainTextChar">
    <w:name w:val="Plain Text Char"/>
    <w:basedOn w:val="DefaultParagraphFont"/>
    <w:link w:val="PlainText"/>
    <w:uiPriority w:val="99"/>
    <w:semiHidden/>
    <w:rsid w:val="00B626E2"/>
    <w:rPr>
      <w:rFonts w:ascii="Arial"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5F5"/>
    <w:rPr>
      <w:color w:val="0000FF" w:themeColor="hyperlink"/>
      <w:u w:val="single"/>
    </w:rPr>
  </w:style>
  <w:style w:type="paragraph" w:styleId="ListParagraph">
    <w:name w:val="List Paragraph"/>
    <w:basedOn w:val="Normal"/>
    <w:uiPriority w:val="34"/>
    <w:qFormat/>
    <w:rsid w:val="00D95531"/>
    <w:pPr>
      <w:ind w:left="720"/>
      <w:contextualSpacing/>
    </w:pPr>
  </w:style>
  <w:style w:type="paragraph" w:styleId="Header">
    <w:name w:val="header"/>
    <w:basedOn w:val="Normal"/>
    <w:link w:val="HeaderChar"/>
    <w:uiPriority w:val="99"/>
    <w:unhideWhenUsed/>
    <w:rsid w:val="0091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91"/>
    <w:rPr>
      <w:noProof/>
    </w:rPr>
  </w:style>
  <w:style w:type="paragraph" w:styleId="Footer">
    <w:name w:val="footer"/>
    <w:basedOn w:val="Normal"/>
    <w:link w:val="FooterChar"/>
    <w:uiPriority w:val="99"/>
    <w:unhideWhenUsed/>
    <w:rsid w:val="0091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91"/>
    <w:rPr>
      <w:noProof/>
    </w:rPr>
  </w:style>
  <w:style w:type="paragraph" w:styleId="BalloonText">
    <w:name w:val="Balloon Text"/>
    <w:basedOn w:val="Normal"/>
    <w:link w:val="BalloonTextChar"/>
    <w:uiPriority w:val="99"/>
    <w:semiHidden/>
    <w:unhideWhenUsed/>
    <w:rsid w:val="00915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91"/>
    <w:rPr>
      <w:rFonts w:ascii="Tahoma" w:hAnsi="Tahoma" w:cs="Tahoma"/>
      <w:noProof/>
      <w:sz w:val="16"/>
      <w:szCs w:val="16"/>
    </w:rPr>
  </w:style>
  <w:style w:type="paragraph" w:customStyle="1" w:styleId="Default">
    <w:name w:val="Default"/>
    <w:rsid w:val="0091599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111E2"/>
    <w:rPr>
      <w:color w:val="800080" w:themeColor="followedHyperlink"/>
      <w:u w:val="single"/>
    </w:rPr>
  </w:style>
  <w:style w:type="paragraph" w:styleId="PlainText">
    <w:name w:val="Plain Text"/>
    <w:basedOn w:val="Normal"/>
    <w:link w:val="PlainTextChar"/>
    <w:uiPriority w:val="99"/>
    <w:semiHidden/>
    <w:unhideWhenUsed/>
    <w:rsid w:val="00B626E2"/>
    <w:pPr>
      <w:spacing w:after="0" w:line="240" w:lineRule="auto"/>
    </w:pPr>
    <w:rPr>
      <w:rFonts w:ascii="Arial" w:hAnsi="Arial" w:cs="Consolas"/>
      <w:noProof w:val="0"/>
      <w:szCs w:val="21"/>
    </w:rPr>
  </w:style>
  <w:style w:type="character" w:customStyle="1" w:styleId="PlainTextChar">
    <w:name w:val="Plain Text Char"/>
    <w:basedOn w:val="DefaultParagraphFont"/>
    <w:link w:val="PlainText"/>
    <w:uiPriority w:val="99"/>
    <w:semiHidden/>
    <w:rsid w:val="00B626E2"/>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e.int/t/Congress/" TargetMode="External"/><Relationship Id="rId4" Type="http://schemas.microsoft.com/office/2007/relationships/stylesWithEffects" Target="stylesWithEffects.xml"/><Relationship Id="rId9" Type="http://schemas.openxmlformats.org/officeDocument/2006/relationships/hyperlink" Target="mailto:ian.hughes@local.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FF87-7CED-454F-8971-1673DFBA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Kitt</dc:creator>
  <cp:lastModifiedBy>Frances Marshall</cp:lastModifiedBy>
  <cp:revision>15</cp:revision>
  <cp:lastPrinted>2014-03-31T14:15:00Z</cp:lastPrinted>
  <dcterms:created xsi:type="dcterms:W3CDTF">2014-04-01T08:35:00Z</dcterms:created>
  <dcterms:modified xsi:type="dcterms:W3CDTF">2014-04-02T15:57:00Z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RK</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2014-04-01T00:00:00Z</vt:lpwstr>
  </property>
  <property fmtid="{D5CDD505-2E9C-101B-9397-08002B2CF9AE}" pid="10" name="e-GMS.subject.keyword">
    <vt:lpwstr>Eurpean and International Affairs Panel,</vt:lpwstr>
  </property>
  <property fmtid="{D5CDD505-2E9C-101B-9397-08002B2CF9AE}" pid="11" name="Date">
    <vt:lpwstr>2014-04-01T00:00:00Z</vt:lpwstr>
  </property>
  <property fmtid="{D5CDD505-2E9C-101B-9397-08002B2CF9AE}" pid="12" name="Title">
    <vt:lpwstr>Item 3, Congress Report</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ies>
</file>